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BAC" w:rsidRDefault="00462BAC" w:rsidP="00462BAC">
      <w:pPr>
        <w:autoSpaceDE w:val="0"/>
        <w:autoSpaceDN w:val="0"/>
        <w:adjustRightInd w:val="0"/>
        <w:rPr>
          <w:rFonts w:ascii="Verdana" w:hAnsi="Verdana"/>
          <w:color w:val="7CEDFC"/>
          <w:sz w:val="22"/>
          <w:szCs w:val="22"/>
        </w:rPr>
      </w:pPr>
      <w:r>
        <w:rPr>
          <w:rFonts w:ascii="Verdana" w:eastAsiaTheme="minorHAnsi" w:hAnsi="Verdana" w:cs="OfficinaSans-Bold"/>
          <w:bCs/>
          <w:color w:val="7CEDFC"/>
          <w:sz w:val="22"/>
          <w:szCs w:val="22"/>
          <w:lang w:val="es-CL" w:eastAsia="en-US"/>
        </w:rPr>
        <w:t xml:space="preserve">Historia, Geografía y Ciencias Sociales </w:t>
      </w:r>
      <w:r>
        <w:rPr>
          <w:rFonts w:ascii="Verdana" w:hAnsi="Verdana"/>
          <w:color w:val="7CEDFC"/>
          <w:sz w:val="22"/>
          <w:szCs w:val="22"/>
        </w:rPr>
        <w:t>1º medio / Unidad 2 / OA</w:t>
      </w:r>
      <w:r w:rsidR="003F1CDD">
        <w:rPr>
          <w:rFonts w:ascii="Verdana" w:hAnsi="Verdana"/>
          <w:color w:val="7CEDFC"/>
          <w:sz w:val="22"/>
          <w:szCs w:val="22"/>
        </w:rPr>
        <w:t>6</w:t>
      </w:r>
      <w:r w:rsidR="002D13B9">
        <w:rPr>
          <w:rFonts w:ascii="Verdana" w:hAnsi="Verdana"/>
          <w:color w:val="7CEDFC"/>
          <w:sz w:val="22"/>
          <w:szCs w:val="22"/>
        </w:rPr>
        <w:t xml:space="preserve"> / Actividad 2</w:t>
      </w:r>
    </w:p>
    <w:p w:rsidR="000E00F4" w:rsidRDefault="000E00F4" w:rsidP="00462BAC">
      <w:pPr>
        <w:autoSpaceDE w:val="0"/>
        <w:autoSpaceDN w:val="0"/>
        <w:adjustRightInd w:val="0"/>
        <w:rPr>
          <w:rFonts w:ascii="Verdana" w:hAnsi="Verdana"/>
          <w:color w:val="7CEDFC"/>
          <w:sz w:val="22"/>
          <w:szCs w:val="22"/>
        </w:rPr>
      </w:pPr>
    </w:p>
    <w:p w:rsidR="000E00F4" w:rsidRPr="000E00F4" w:rsidRDefault="000E00F4" w:rsidP="000E00F4">
      <w:pPr>
        <w:spacing w:after="120"/>
        <w:ind w:left="426"/>
        <w:rPr>
          <w:rFonts w:ascii="Verdana" w:hAnsi="Verdana"/>
          <w:sz w:val="20"/>
          <w:szCs w:val="20"/>
        </w:rPr>
      </w:pPr>
      <w:r>
        <w:rPr>
          <w:rFonts w:ascii="Verdana" w:hAnsi="Verdana"/>
          <w:sz w:val="20"/>
          <w:szCs w:val="20"/>
        </w:rPr>
        <w:t xml:space="preserve">2. </w:t>
      </w:r>
      <w:r w:rsidRPr="000E00F4">
        <w:rPr>
          <w:rFonts w:ascii="Verdana" w:hAnsi="Verdana"/>
          <w:sz w:val="20"/>
          <w:szCs w:val="20"/>
        </w:rPr>
        <w:t xml:space="preserve">Los y las estudiantes leen un texto que relata uno de los primeros genocidios reconocidos en la historia de África. Este hecho es muy significativo porque demuestra, además, la resistencia que presentaron los pueblos aborígenes. </w:t>
      </w:r>
    </w:p>
    <w:p w:rsidR="000E00F4" w:rsidRPr="000E00F4" w:rsidRDefault="000E00F4" w:rsidP="000E00F4">
      <w:pPr>
        <w:pStyle w:val="Prrafodelista"/>
        <w:ind w:left="426"/>
        <w:rPr>
          <w:sz w:val="20"/>
          <w:szCs w:val="20"/>
        </w:rPr>
      </w:pPr>
      <w:r w:rsidRPr="000E00F4">
        <w:rPr>
          <w:sz w:val="20"/>
          <w:szCs w:val="20"/>
        </w:rPr>
        <w:t xml:space="preserve">Finalmente, elaboran un ensayo crítico que explique, a partir de las causas del imperialismo y </w:t>
      </w:r>
      <w:proofErr w:type="gramStart"/>
      <w:r w:rsidRPr="000E00F4">
        <w:rPr>
          <w:sz w:val="20"/>
          <w:szCs w:val="20"/>
        </w:rPr>
        <w:t>su características</w:t>
      </w:r>
      <w:proofErr w:type="gramEnd"/>
      <w:r w:rsidRPr="000E00F4">
        <w:rPr>
          <w:sz w:val="20"/>
          <w:szCs w:val="20"/>
        </w:rPr>
        <w:t xml:space="preserve">, los alcances que tuvo y que tiene en los pueblos colonizados. </w:t>
      </w:r>
    </w:p>
    <w:p w:rsidR="000E00F4" w:rsidRPr="000E00F4" w:rsidRDefault="000E00F4" w:rsidP="000E00F4">
      <w:pPr>
        <w:spacing w:after="120"/>
        <w:ind w:left="426"/>
        <w:rPr>
          <w:rFonts w:ascii="Verdana" w:hAnsi="Verdana"/>
          <w:sz w:val="20"/>
          <w:szCs w:val="20"/>
        </w:rPr>
      </w:pPr>
    </w:p>
    <w:p w:rsidR="000E00F4" w:rsidRPr="000E00F4" w:rsidRDefault="000E00F4" w:rsidP="000E00F4">
      <w:pPr>
        <w:ind w:left="426"/>
        <w:rPr>
          <w:rFonts w:ascii="Verdana" w:hAnsi="Verdana"/>
          <w:color w:val="00CCFF"/>
          <w:sz w:val="20"/>
          <w:szCs w:val="20"/>
        </w:rPr>
      </w:pPr>
      <w:r w:rsidRPr="000E00F4">
        <w:rPr>
          <w:rFonts w:ascii="Verdana" w:hAnsi="Verdana"/>
          <w:color w:val="00CCFF"/>
          <w:sz w:val="20"/>
          <w:szCs w:val="20"/>
        </w:rPr>
        <w:t>Fuente 1:</w:t>
      </w:r>
    </w:p>
    <w:p w:rsidR="000E00F4" w:rsidRPr="000E00F4" w:rsidRDefault="000E00F4" w:rsidP="000E00F4">
      <w:pPr>
        <w:ind w:left="426"/>
        <w:rPr>
          <w:rFonts w:ascii="Verdana" w:hAnsi="Verdana"/>
          <w:color w:val="00CCFF"/>
          <w:sz w:val="20"/>
          <w:szCs w:val="20"/>
        </w:rPr>
      </w:pPr>
    </w:p>
    <w:p w:rsidR="000E00F4" w:rsidRPr="000E00F4" w:rsidRDefault="000E00F4" w:rsidP="000E00F4">
      <w:pPr>
        <w:spacing w:after="120"/>
        <w:ind w:left="426"/>
        <w:rPr>
          <w:rFonts w:ascii="Verdana" w:hAnsi="Verdana"/>
          <w:sz w:val="20"/>
          <w:szCs w:val="20"/>
        </w:rPr>
      </w:pPr>
      <w:r w:rsidRPr="000E00F4">
        <w:rPr>
          <w:rFonts w:ascii="Verdana" w:hAnsi="Verdana"/>
          <w:sz w:val="20"/>
          <w:szCs w:val="20"/>
        </w:rPr>
        <w:t xml:space="preserve">En Namibia, el descubrimiento de diamantes en </w:t>
      </w:r>
      <w:proofErr w:type="spellStart"/>
      <w:r w:rsidRPr="000E00F4">
        <w:rPr>
          <w:rFonts w:ascii="Verdana" w:hAnsi="Verdana"/>
          <w:sz w:val="20"/>
          <w:szCs w:val="20"/>
        </w:rPr>
        <w:t>Griqualand</w:t>
      </w:r>
      <w:proofErr w:type="spellEnd"/>
      <w:r w:rsidRPr="000E00F4">
        <w:rPr>
          <w:rFonts w:ascii="Verdana" w:hAnsi="Verdana"/>
          <w:sz w:val="20"/>
          <w:szCs w:val="20"/>
        </w:rPr>
        <w:t xml:space="preserve"> occidental, en 1879, animó la adquisición de tierras por parte de Adolf </w:t>
      </w:r>
      <w:proofErr w:type="spellStart"/>
      <w:r w:rsidRPr="000E00F4">
        <w:rPr>
          <w:rFonts w:ascii="Verdana" w:hAnsi="Verdana"/>
          <w:sz w:val="20"/>
          <w:szCs w:val="20"/>
        </w:rPr>
        <w:t>Lüderitz</w:t>
      </w:r>
      <w:proofErr w:type="spellEnd"/>
      <w:r w:rsidRPr="000E00F4">
        <w:rPr>
          <w:rFonts w:ascii="Verdana" w:hAnsi="Verdana"/>
          <w:sz w:val="20"/>
          <w:szCs w:val="20"/>
        </w:rPr>
        <w:t xml:space="preserve"> en 1883, lo que dio motivo a Bismarck para declarar el 24 de abril de 1884 protectorado alemán al África del sudoeste. En el periodo de 1884-1892 los hereros y </w:t>
      </w:r>
      <w:proofErr w:type="spellStart"/>
      <w:r w:rsidRPr="000E00F4">
        <w:rPr>
          <w:rFonts w:ascii="Verdana" w:hAnsi="Verdana"/>
          <w:sz w:val="20"/>
          <w:szCs w:val="20"/>
        </w:rPr>
        <w:t>namas</w:t>
      </w:r>
      <w:proofErr w:type="spellEnd"/>
      <w:r w:rsidRPr="000E00F4">
        <w:rPr>
          <w:rFonts w:ascii="Verdana" w:hAnsi="Verdana"/>
          <w:sz w:val="20"/>
          <w:szCs w:val="20"/>
        </w:rPr>
        <w:t xml:space="preserve"> no habían percibido todavía el problema con los imperialistas alemanes.</w:t>
      </w:r>
    </w:p>
    <w:p w:rsidR="000E00F4" w:rsidRPr="000E00F4" w:rsidRDefault="000E00F4" w:rsidP="000E00F4">
      <w:pPr>
        <w:spacing w:after="120"/>
        <w:ind w:left="426"/>
        <w:rPr>
          <w:rFonts w:ascii="Verdana" w:hAnsi="Verdana"/>
          <w:sz w:val="20"/>
          <w:szCs w:val="20"/>
        </w:rPr>
      </w:pPr>
      <w:r w:rsidRPr="000E00F4">
        <w:rPr>
          <w:rFonts w:ascii="Verdana" w:hAnsi="Verdana"/>
          <w:sz w:val="20"/>
          <w:szCs w:val="20"/>
        </w:rPr>
        <w:t xml:space="preserve">En enero de 1904 en Namibia, el ferrocarril de Windhoek a </w:t>
      </w:r>
      <w:proofErr w:type="spellStart"/>
      <w:r w:rsidRPr="000E00F4">
        <w:rPr>
          <w:rFonts w:ascii="Verdana" w:hAnsi="Verdana"/>
          <w:sz w:val="20"/>
          <w:szCs w:val="20"/>
        </w:rPr>
        <w:t>Swakopmund</w:t>
      </w:r>
      <w:proofErr w:type="spellEnd"/>
      <w:r w:rsidRPr="000E00F4">
        <w:rPr>
          <w:rFonts w:ascii="Verdana" w:hAnsi="Verdana"/>
          <w:sz w:val="20"/>
          <w:szCs w:val="20"/>
        </w:rPr>
        <w:t xml:space="preserve"> y las comunicaciones telegráficas fueron destruidas por los hereros, y en agosto el general Von </w:t>
      </w:r>
      <w:proofErr w:type="spellStart"/>
      <w:r w:rsidRPr="000E00F4">
        <w:rPr>
          <w:rFonts w:ascii="Verdana" w:hAnsi="Verdana"/>
          <w:sz w:val="20"/>
          <w:szCs w:val="20"/>
        </w:rPr>
        <w:t>Trotha</w:t>
      </w:r>
      <w:proofErr w:type="spellEnd"/>
      <w:r w:rsidRPr="000E00F4">
        <w:rPr>
          <w:rFonts w:ascii="Verdana" w:hAnsi="Verdana"/>
          <w:sz w:val="20"/>
          <w:szCs w:val="20"/>
        </w:rPr>
        <w:t xml:space="preserve"> persigue el grupo al mando de Samuel </w:t>
      </w:r>
      <w:proofErr w:type="spellStart"/>
      <w:r w:rsidRPr="000E00F4">
        <w:rPr>
          <w:rFonts w:ascii="Verdana" w:hAnsi="Verdana"/>
          <w:sz w:val="20"/>
          <w:szCs w:val="20"/>
        </w:rPr>
        <w:t>Maharero</w:t>
      </w:r>
      <w:proofErr w:type="spellEnd"/>
      <w:r w:rsidRPr="000E00F4">
        <w:rPr>
          <w:rFonts w:ascii="Verdana" w:hAnsi="Verdana"/>
          <w:sz w:val="20"/>
          <w:szCs w:val="20"/>
        </w:rPr>
        <w:t xml:space="preserve"> que escapa a la actual </w:t>
      </w:r>
      <w:proofErr w:type="spellStart"/>
      <w:r w:rsidRPr="000E00F4">
        <w:rPr>
          <w:rFonts w:ascii="Verdana" w:hAnsi="Verdana"/>
          <w:sz w:val="20"/>
          <w:szCs w:val="20"/>
        </w:rPr>
        <w:t>Botswana</w:t>
      </w:r>
      <w:proofErr w:type="spellEnd"/>
      <w:r w:rsidRPr="000E00F4">
        <w:rPr>
          <w:rFonts w:ascii="Verdana" w:hAnsi="Verdana"/>
          <w:sz w:val="20"/>
          <w:szCs w:val="20"/>
        </w:rPr>
        <w:t>, adoptando una política de exterminación que acabó con el 80% de ellos, hasta 1905 en que fue destituido, y 12.000 hereros fueron recluidos en reservas especiales.</w:t>
      </w:r>
    </w:p>
    <w:p w:rsidR="000E00F4" w:rsidRPr="000E00F4" w:rsidRDefault="000E00F4" w:rsidP="000E00F4">
      <w:pPr>
        <w:spacing w:after="120"/>
        <w:ind w:left="426"/>
        <w:rPr>
          <w:rFonts w:ascii="Verdana" w:hAnsi="Verdana"/>
          <w:sz w:val="20"/>
          <w:szCs w:val="20"/>
        </w:rPr>
      </w:pPr>
      <w:r w:rsidRPr="000E00F4">
        <w:rPr>
          <w:rFonts w:ascii="Verdana" w:hAnsi="Verdana"/>
          <w:sz w:val="20"/>
          <w:szCs w:val="20"/>
        </w:rPr>
        <w:t xml:space="preserve">El general Von </w:t>
      </w:r>
      <w:proofErr w:type="spellStart"/>
      <w:r w:rsidRPr="000E00F4">
        <w:rPr>
          <w:rFonts w:ascii="Verdana" w:hAnsi="Verdana"/>
          <w:sz w:val="20"/>
          <w:szCs w:val="20"/>
        </w:rPr>
        <w:t>Trotha</w:t>
      </w:r>
      <w:proofErr w:type="spellEnd"/>
      <w:r w:rsidRPr="000E00F4">
        <w:rPr>
          <w:rFonts w:ascii="Verdana" w:hAnsi="Verdana"/>
          <w:sz w:val="20"/>
          <w:szCs w:val="20"/>
        </w:rPr>
        <w:t xml:space="preserve"> sentenció: "Dentro de las fronteras alemanas debe ser fusilado cada herero, tenga o no armas, tenga o no ganado", en represalia por la muerte de 100 colonos durante una sublevación indígena.</w:t>
      </w:r>
    </w:p>
    <w:p w:rsidR="000E00F4" w:rsidRPr="000E00F4" w:rsidRDefault="000E00F4" w:rsidP="000E00F4">
      <w:pPr>
        <w:spacing w:after="120"/>
        <w:ind w:left="426"/>
        <w:rPr>
          <w:rFonts w:ascii="Verdana" w:hAnsi="Verdana"/>
          <w:sz w:val="20"/>
          <w:szCs w:val="20"/>
        </w:rPr>
      </w:pPr>
      <w:r w:rsidRPr="000E00F4">
        <w:rPr>
          <w:rFonts w:ascii="Verdana" w:hAnsi="Verdana"/>
          <w:sz w:val="20"/>
          <w:szCs w:val="20"/>
        </w:rPr>
        <w:t xml:space="preserve">El levantamiento indígena contra el dominio alemán se prolongó entre 1904 y 1907 y dejó 65.000 muertos. El holocausto de los judíos a manos de los nazis tuvo sus prolegómenos en el genocidio herero, en la sabana de Namibia. La gran mayoría de los 80.000 hereros y la mitad de los 20.000 </w:t>
      </w:r>
      <w:proofErr w:type="spellStart"/>
      <w:r w:rsidRPr="000E00F4">
        <w:rPr>
          <w:rFonts w:ascii="Verdana" w:hAnsi="Verdana"/>
          <w:sz w:val="20"/>
          <w:szCs w:val="20"/>
        </w:rPr>
        <w:t>namas</w:t>
      </w:r>
      <w:proofErr w:type="spellEnd"/>
      <w:r w:rsidRPr="000E00F4">
        <w:rPr>
          <w:rFonts w:ascii="Verdana" w:hAnsi="Verdana"/>
          <w:sz w:val="20"/>
          <w:szCs w:val="20"/>
        </w:rPr>
        <w:t xml:space="preserve"> fueron ejecutados o perecieron huyendo en el desierto de </w:t>
      </w:r>
      <w:proofErr w:type="spellStart"/>
      <w:r w:rsidRPr="000E00F4">
        <w:rPr>
          <w:rFonts w:ascii="Verdana" w:hAnsi="Verdana"/>
          <w:sz w:val="20"/>
          <w:szCs w:val="20"/>
        </w:rPr>
        <w:t>Omaheke</w:t>
      </w:r>
      <w:proofErr w:type="spellEnd"/>
      <w:r w:rsidRPr="000E00F4">
        <w:rPr>
          <w:rFonts w:ascii="Verdana" w:hAnsi="Verdana"/>
          <w:sz w:val="20"/>
          <w:szCs w:val="20"/>
        </w:rPr>
        <w:t>, en lo que los alemanes han aceptado en llamar el primer genocidio del siglo XX.</w:t>
      </w:r>
    </w:p>
    <w:p w:rsidR="000E00F4" w:rsidRPr="000E00F4" w:rsidRDefault="000E00F4" w:rsidP="000E00F4">
      <w:pPr>
        <w:spacing w:after="120"/>
        <w:ind w:left="426"/>
        <w:rPr>
          <w:rFonts w:ascii="Verdana" w:hAnsi="Verdana"/>
          <w:sz w:val="20"/>
          <w:szCs w:val="20"/>
        </w:rPr>
      </w:pPr>
      <w:r w:rsidRPr="000E00F4">
        <w:rPr>
          <w:rFonts w:ascii="Verdana" w:hAnsi="Verdana"/>
          <w:sz w:val="20"/>
          <w:szCs w:val="20"/>
        </w:rPr>
        <w:t xml:space="preserve">La ministra alemana de Desarrollo, </w:t>
      </w:r>
      <w:proofErr w:type="spellStart"/>
      <w:r w:rsidRPr="000E00F4">
        <w:rPr>
          <w:rFonts w:ascii="Verdana" w:hAnsi="Verdana"/>
          <w:sz w:val="20"/>
          <w:szCs w:val="20"/>
        </w:rPr>
        <w:t>Heidemarie</w:t>
      </w:r>
      <w:proofErr w:type="spellEnd"/>
      <w:r w:rsidRPr="000E00F4">
        <w:rPr>
          <w:rFonts w:ascii="Verdana" w:hAnsi="Verdana"/>
          <w:sz w:val="20"/>
          <w:szCs w:val="20"/>
        </w:rPr>
        <w:t xml:space="preserve"> </w:t>
      </w:r>
      <w:proofErr w:type="spellStart"/>
      <w:r w:rsidRPr="000E00F4">
        <w:rPr>
          <w:rFonts w:ascii="Verdana" w:hAnsi="Verdana"/>
          <w:sz w:val="20"/>
          <w:szCs w:val="20"/>
        </w:rPr>
        <w:t>Wieczorek-Zeul</w:t>
      </w:r>
      <w:proofErr w:type="spellEnd"/>
      <w:r w:rsidRPr="000E00F4">
        <w:rPr>
          <w:rFonts w:ascii="Verdana" w:hAnsi="Verdana"/>
          <w:sz w:val="20"/>
          <w:szCs w:val="20"/>
        </w:rPr>
        <w:t xml:space="preserve">, en julio de 2004, durante la conmemoración en </w:t>
      </w:r>
      <w:proofErr w:type="spellStart"/>
      <w:r w:rsidRPr="000E00F4">
        <w:rPr>
          <w:rFonts w:ascii="Verdana" w:hAnsi="Verdana"/>
          <w:sz w:val="20"/>
          <w:szCs w:val="20"/>
        </w:rPr>
        <w:t>Okakarara</w:t>
      </w:r>
      <w:proofErr w:type="spellEnd"/>
      <w:r w:rsidRPr="000E00F4">
        <w:rPr>
          <w:rFonts w:ascii="Verdana" w:hAnsi="Verdana"/>
          <w:sz w:val="20"/>
          <w:szCs w:val="20"/>
        </w:rPr>
        <w:t xml:space="preserve"> (al noroeste de Windhoek) de los 100 años de la masacre por parte de las tropas coloniales alemanas, con lágrimas en sus ojos, ofreció la primera disculpa oficial alemana, utilizando también por primera vez el término "genocidio"; se refirió a la "locura colonial" que había conducido al racismo, a la violencia y a la discriminación. En tal sentido señaló: “Quien no recuerda el pasado está ciego ante el presente. Alemania ha aprendido amargamente las lecciones de su pasado” (…) “Nosotros, los alemanes, aceptamos nuestra responsabilidad moral e histórica y la culpabilidad de los alemanes de entonces” (…) “Yo presento mis respetos ante vuestros ancestros masacrados” (…) “que asumían las atrocidades que hoy llamaríamos genocidio”, dirigiéndose a 5.000 descendientes de los hereros que sobrevivieron a la matanza, llegados de todo el país, África del Sur y </w:t>
      </w:r>
      <w:proofErr w:type="spellStart"/>
      <w:r w:rsidRPr="000E00F4">
        <w:rPr>
          <w:rFonts w:ascii="Verdana" w:hAnsi="Verdana"/>
          <w:sz w:val="20"/>
          <w:szCs w:val="20"/>
        </w:rPr>
        <w:t>Botswana</w:t>
      </w:r>
      <w:proofErr w:type="spellEnd"/>
      <w:r w:rsidRPr="000E00F4">
        <w:rPr>
          <w:rFonts w:ascii="Verdana" w:hAnsi="Verdana"/>
          <w:sz w:val="20"/>
          <w:szCs w:val="20"/>
        </w:rPr>
        <w:t xml:space="preserve"> y, en inglés, agregó: “En el nombre de Dios os pido vuestro perdón”.</w:t>
      </w:r>
    </w:p>
    <w:p w:rsidR="000E00F4" w:rsidRDefault="000E00F4" w:rsidP="000E00F4">
      <w:pPr>
        <w:ind w:left="426"/>
        <w:jc w:val="right"/>
        <w:rPr>
          <w:rFonts w:ascii="Verdana" w:hAnsi="Verdana"/>
          <w:b/>
          <w:sz w:val="16"/>
          <w:szCs w:val="16"/>
        </w:rPr>
      </w:pPr>
      <w:proofErr w:type="spellStart"/>
      <w:r w:rsidRPr="000E00F4">
        <w:rPr>
          <w:rFonts w:ascii="Verdana" w:hAnsi="Verdana"/>
          <w:b/>
          <w:sz w:val="16"/>
          <w:szCs w:val="16"/>
        </w:rPr>
        <w:t>Amenós</w:t>
      </w:r>
      <w:proofErr w:type="spellEnd"/>
      <w:r w:rsidRPr="000E00F4">
        <w:rPr>
          <w:rFonts w:ascii="Verdana" w:hAnsi="Verdana"/>
          <w:b/>
          <w:sz w:val="16"/>
          <w:szCs w:val="16"/>
        </w:rPr>
        <w:t xml:space="preserve">, J. (1984). </w:t>
      </w:r>
      <w:r w:rsidRPr="000E00F4">
        <w:rPr>
          <w:rFonts w:ascii="Verdana" w:hAnsi="Verdana"/>
          <w:b/>
          <w:i/>
          <w:sz w:val="16"/>
          <w:szCs w:val="16"/>
        </w:rPr>
        <w:t>Política y apartheid. La discriminación racial en África del Sur.</w:t>
      </w:r>
      <w:r w:rsidRPr="000E00F4">
        <w:rPr>
          <w:rFonts w:ascii="Verdana" w:hAnsi="Verdana"/>
          <w:b/>
          <w:sz w:val="16"/>
          <w:szCs w:val="16"/>
        </w:rPr>
        <w:t xml:space="preserve"> España. </w:t>
      </w:r>
    </w:p>
    <w:p w:rsidR="000E00F4" w:rsidRDefault="000E00F4" w:rsidP="000E00F4">
      <w:pPr>
        <w:ind w:left="426"/>
        <w:jc w:val="right"/>
        <w:rPr>
          <w:rFonts w:ascii="Verdana" w:hAnsi="Verdana"/>
          <w:b/>
          <w:sz w:val="16"/>
          <w:szCs w:val="16"/>
        </w:rPr>
      </w:pPr>
    </w:p>
    <w:p w:rsidR="000E00F4" w:rsidRPr="000E00F4" w:rsidRDefault="000E00F4" w:rsidP="000E00F4">
      <w:pPr>
        <w:ind w:left="426"/>
        <w:jc w:val="right"/>
        <w:rPr>
          <w:rFonts w:ascii="Verdana" w:hAnsi="Verdana"/>
          <w:b/>
          <w:sz w:val="16"/>
          <w:szCs w:val="16"/>
        </w:rPr>
      </w:pPr>
    </w:p>
    <w:p w:rsidR="000E00F4" w:rsidRPr="000E00F4" w:rsidRDefault="000E00F4" w:rsidP="000E00F4">
      <w:pPr>
        <w:rPr>
          <w:rFonts w:ascii="Verdana" w:hAnsi="Verdana"/>
          <w:b/>
          <w:sz w:val="20"/>
          <w:szCs w:val="20"/>
        </w:rPr>
      </w:pPr>
    </w:p>
    <w:p w:rsidR="000E00F4" w:rsidRPr="000E00F4" w:rsidRDefault="000E00F4" w:rsidP="000E00F4">
      <w:pPr>
        <w:pBdr>
          <w:top w:val="single" w:sz="4" w:space="1" w:color="auto"/>
          <w:left w:val="single" w:sz="4" w:space="4" w:color="auto"/>
          <w:bottom w:val="single" w:sz="4" w:space="1" w:color="auto"/>
          <w:right w:val="single" w:sz="4" w:space="4" w:color="auto"/>
        </w:pBdr>
        <w:spacing w:after="120"/>
        <w:ind w:left="284" w:hanging="284"/>
        <w:rPr>
          <w:rFonts w:ascii="Verdana" w:hAnsi="Verdana"/>
          <w:b/>
          <w:sz w:val="20"/>
          <w:szCs w:val="20"/>
        </w:rPr>
      </w:pPr>
      <w:r w:rsidRPr="000E00F4">
        <w:rPr>
          <w:rFonts w:ascii="Verdana" w:hAnsi="Verdana"/>
          <w:b/>
          <w:color w:val="00CCFF"/>
          <w:sz w:val="20"/>
          <w:szCs w:val="20"/>
        </w:rPr>
        <w:lastRenderedPageBreak/>
        <w:t>Observaciones a la o el docente</w:t>
      </w:r>
    </w:p>
    <w:p w:rsidR="000E00F4" w:rsidRPr="000E00F4" w:rsidRDefault="000E00F4" w:rsidP="000E00F4">
      <w:pPr>
        <w:pBdr>
          <w:top w:val="single" w:sz="4" w:space="1" w:color="auto"/>
          <w:left w:val="single" w:sz="4" w:space="4" w:color="auto"/>
          <w:bottom w:val="single" w:sz="4" w:space="1" w:color="auto"/>
          <w:right w:val="single" w:sz="4" w:space="4" w:color="auto"/>
        </w:pBdr>
        <w:spacing w:after="120"/>
        <w:rPr>
          <w:rFonts w:ascii="Verdana" w:hAnsi="Verdana"/>
          <w:sz w:val="20"/>
          <w:szCs w:val="20"/>
        </w:rPr>
      </w:pPr>
      <w:r w:rsidRPr="000E00F4">
        <w:rPr>
          <w:rFonts w:ascii="Verdana" w:hAnsi="Verdana"/>
          <w:sz w:val="20"/>
          <w:szCs w:val="20"/>
        </w:rPr>
        <w:t>La redacción de un ensayo puede resultar difícil si sus estudiantes no están habituados a expresar sus opiniones y conocimientos de manera escrita. De esta forma, puede resultar relevante plantear algunas preguntas que guíen el trabajo; por ejemplo, ¿cómo afectó a la población de las colonias el proceso imperialista?, ¿qué causas y consecuencias están presenten en este proceso?, ¿qué opinión personal puedes desarrollar al respecto?</w:t>
      </w:r>
    </w:p>
    <w:p w:rsidR="000E00F4" w:rsidRPr="000E00F4" w:rsidRDefault="000E00F4" w:rsidP="000E00F4">
      <w:pPr>
        <w:pBdr>
          <w:top w:val="single" w:sz="4" w:space="1" w:color="auto"/>
          <w:left w:val="single" w:sz="4" w:space="4" w:color="auto"/>
          <w:bottom w:val="single" w:sz="4" w:space="1" w:color="auto"/>
          <w:right w:val="single" w:sz="4" w:space="4" w:color="auto"/>
        </w:pBdr>
        <w:spacing w:after="120"/>
        <w:rPr>
          <w:rFonts w:ascii="Verdana" w:hAnsi="Verdana"/>
          <w:sz w:val="20"/>
          <w:szCs w:val="20"/>
        </w:rPr>
      </w:pPr>
      <w:r w:rsidRPr="000E00F4">
        <w:rPr>
          <w:rFonts w:ascii="Verdana" w:hAnsi="Verdana"/>
          <w:sz w:val="20"/>
          <w:szCs w:val="20"/>
        </w:rPr>
        <w:t>Para el desarrollo de esta actividad, puede ser necesario abordar el concepto de genocidio, analizando con las y los estudiantes sus implicancias tanto históricas como éticas. Dialogue con el curso sobre lo que puede haber llevado a los sujetos de la época a exterminar a miles de personas, evidenciando el peso de discursos que defendían la superioridad europea. A partir de ello, destaque el rol que cumple en la actualidad el reconocimiento, defensa y promoción de los derechos humanos.</w:t>
      </w:r>
    </w:p>
    <w:p w:rsidR="000E00F4" w:rsidRPr="000E00F4" w:rsidRDefault="000E00F4" w:rsidP="000E00F4">
      <w:pPr>
        <w:pBdr>
          <w:top w:val="single" w:sz="4" w:space="1" w:color="auto"/>
          <w:left w:val="single" w:sz="4" w:space="4" w:color="auto"/>
          <w:bottom w:val="single" w:sz="4" w:space="1" w:color="auto"/>
          <w:right w:val="single" w:sz="4" w:space="4" w:color="auto"/>
        </w:pBdr>
        <w:spacing w:after="120"/>
        <w:rPr>
          <w:rFonts w:ascii="Verdana" w:hAnsi="Verdana"/>
          <w:sz w:val="20"/>
          <w:szCs w:val="20"/>
        </w:rPr>
      </w:pPr>
      <w:r w:rsidRPr="000E00F4">
        <w:rPr>
          <w:rFonts w:ascii="Verdana" w:hAnsi="Verdana"/>
          <w:sz w:val="20"/>
          <w:szCs w:val="20"/>
        </w:rPr>
        <w:t xml:space="preserve">Recomendaciones para elaborar ensayos puede encontrar en </w:t>
      </w:r>
      <w:hyperlink r:id="rId4" w:history="1">
        <w:r w:rsidRPr="000E00F4">
          <w:rPr>
            <w:rStyle w:val="Hipervnculo"/>
            <w:rFonts w:ascii="Verdana" w:hAnsi="Verdana"/>
            <w:sz w:val="20"/>
            <w:szCs w:val="20"/>
          </w:rPr>
          <w:t>http://www.educarchile.cl/Portal.Base/Web/VerContenido.aspx?ID=76211</w:t>
        </w:r>
      </w:hyperlink>
      <w:r w:rsidRPr="000E00F4">
        <w:rPr>
          <w:rFonts w:ascii="Verdana" w:hAnsi="Verdana"/>
          <w:color w:val="000000"/>
          <w:sz w:val="20"/>
          <w:szCs w:val="20"/>
        </w:rPr>
        <w:t xml:space="preserve"> </w:t>
      </w:r>
    </w:p>
    <w:p w:rsidR="000E00F4" w:rsidRPr="000E00F4" w:rsidRDefault="000E00F4" w:rsidP="000E00F4">
      <w:pPr>
        <w:spacing w:after="120"/>
        <w:rPr>
          <w:rFonts w:ascii="Verdana" w:hAnsi="Verdana"/>
          <w:sz w:val="20"/>
          <w:szCs w:val="20"/>
        </w:rPr>
      </w:pPr>
    </w:p>
    <w:p w:rsidR="000E00F4" w:rsidRDefault="000E00F4" w:rsidP="000E00F4">
      <w:pPr>
        <w:rPr>
          <w:szCs w:val="18"/>
        </w:rPr>
      </w:pPr>
    </w:p>
    <w:p w:rsidR="000E00F4" w:rsidRDefault="000E00F4" w:rsidP="00462BAC">
      <w:pPr>
        <w:autoSpaceDE w:val="0"/>
        <w:autoSpaceDN w:val="0"/>
        <w:adjustRightInd w:val="0"/>
        <w:rPr>
          <w:rFonts w:ascii="Verdana" w:hAnsi="Verdana"/>
          <w:color w:val="7CEDFC"/>
          <w:sz w:val="22"/>
          <w:szCs w:val="22"/>
        </w:rPr>
      </w:pPr>
    </w:p>
    <w:p w:rsidR="001F5DC8" w:rsidRDefault="001F5DC8" w:rsidP="00462BAC">
      <w:pPr>
        <w:autoSpaceDE w:val="0"/>
        <w:autoSpaceDN w:val="0"/>
        <w:adjustRightInd w:val="0"/>
        <w:rPr>
          <w:rFonts w:ascii="Verdana" w:hAnsi="Verdana"/>
          <w:color w:val="7CEDFC"/>
          <w:sz w:val="22"/>
          <w:szCs w:val="22"/>
        </w:rPr>
      </w:pPr>
    </w:p>
    <w:p w:rsidR="00AE11E1" w:rsidRDefault="00AE11E1">
      <w:bookmarkStart w:id="0" w:name="_GoBack"/>
      <w:bookmarkEnd w:id="0"/>
    </w:p>
    <w:sectPr w:rsidR="00AE11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OfficinaSans-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191"/>
    <w:rsid w:val="000E00F4"/>
    <w:rsid w:val="001A31BE"/>
    <w:rsid w:val="001F0FE4"/>
    <w:rsid w:val="001F5DC8"/>
    <w:rsid w:val="002D13B9"/>
    <w:rsid w:val="003C77B3"/>
    <w:rsid w:val="003D0738"/>
    <w:rsid w:val="003F1AC4"/>
    <w:rsid w:val="003F1CDD"/>
    <w:rsid w:val="004102D4"/>
    <w:rsid w:val="00462BAC"/>
    <w:rsid w:val="00503257"/>
    <w:rsid w:val="007047F5"/>
    <w:rsid w:val="007A723A"/>
    <w:rsid w:val="007F5CD0"/>
    <w:rsid w:val="00AD7B21"/>
    <w:rsid w:val="00AE11E1"/>
    <w:rsid w:val="00B67F2E"/>
    <w:rsid w:val="00B76191"/>
    <w:rsid w:val="00D20436"/>
    <w:rsid w:val="00D5446F"/>
    <w:rsid w:val="00D76C3A"/>
    <w:rsid w:val="00E5794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ECB4A1-EE8F-40CF-BE00-96BFD3F74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BA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00F4"/>
    <w:pPr>
      <w:spacing w:line="276" w:lineRule="auto"/>
      <w:ind w:left="720"/>
      <w:contextualSpacing/>
      <w:jc w:val="both"/>
    </w:pPr>
    <w:rPr>
      <w:rFonts w:ascii="Verdana" w:hAnsi="Verdana"/>
      <w:sz w:val="18"/>
    </w:rPr>
  </w:style>
  <w:style w:type="character" w:styleId="Hipervnculo">
    <w:name w:val="Hyperlink"/>
    <w:basedOn w:val="Fuentedeprrafopredeter"/>
    <w:uiPriority w:val="99"/>
    <w:unhideWhenUsed/>
    <w:rsid w:val="000E00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4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ducarchile.cl/Portal.Base/Web/VerContenido.aspx?ID=7621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638</Words>
  <Characters>3639</Characters>
  <Application>Microsoft Office Word</Application>
  <DocSecurity>0</DocSecurity>
  <Lines>113</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dc:description/>
  <cp:lastModifiedBy>Paola</cp:lastModifiedBy>
  <cp:revision>4</cp:revision>
  <dcterms:created xsi:type="dcterms:W3CDTF">2019-03-01T13:21:00Z</dcterms:created>
  <dcterms:modified xsi:type="dcterms:W3CDTF">2019-03-01T13:55:00Z</dcterms:modified>
</cp:coreProperties>
</file>