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0568AC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 w:rsidRPr="000568AC">
        <w:rPr>
          <w:rFonts w:ascii="Comic Sans MS" w:hAnsi="Comic Sans MS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5FB0AB9" wp14:editId="3AD75D6F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0568AC">
        <w:rPr>
          <w:rFonts w:ascii="Comic Sans MS" w:hAnsi="Comic Sans MS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3283952" wp14:editId="692C025C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0B2" w:rsidRPr="000568AC" w:rsidRDefault="000568AC" w:rsidP="00465D67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0"/>
          <w:szCs w:val="20"/>
        </w:rPr>
      </w:pPr>
      <w:r w:rsidRPr="000568AC">
        <w:rPr>
          <w:rFonts w:ascii="Comic Sans MS" w:hAnsi="Comic Sans MS" w:cs="Arial"/>
          <w:b/>
          <w:sz w:val="20"/>
          <w:szCs w:val="20"/>
        </w:rPr>
        <w:t xml:space="preserve">PAUTA: </w:t>
      </w:r>
      <w:r w:rsidR="00465D67" w:rsidRPr="000568AC">
        <w:rPr>
          <w:rFonts w:ascii="Comic Sans MS" w:hAnsi="Comic Sans MS" w:cs="Arial"/>
          <w:b/>
          <w:sz w:val="20"/>
          <w:szCs w:val="20"/>
        </w:rPr>
        <w:t>NUESTRO SISTEMA LOCOMOTOR</w:t>
      </w:r>
    </w:p>
    <w:p w:rsidR="00465D67" w:rsidRPr="000568AC" w:rsidRDefault="00465D67" w:rsidP="00465D6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0568AC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8638220" wp14:editId="7C83E561">
            <wp:simplePos x="0" y="0"/>
            <wp:positionH relativeFrom="column">
              <wp:posOffset>5006975</wp:posOffset>
            </wp:positionH>
            <wp:positionV relativeFrom="paragraph">
              <wp:posOffset>52705</wp:posOffset>
            </wp:positionV>
            <wp:extent cx="915035" cy="1508760"/>
            <wp:effectExtent l="0" t="0" r="0" b="0"/>
            <wp:wrapTight wrapText="bothSides">
              <wp:wrapPolygon edited="0">
                <wp:start x="0" y="0"/>
                <wp:lineTo x="0" y="21273"/>
                <wp:lineTo x="21135" y="21273"/>
                <wp:lineTo x="21135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RTE FOOTBALL RECURSOSTI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Juan estaba jugando a la pelota con su equipo de fútbol de la escuela y se preparaba para tirar</w:t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 xml:space="preserve"> </w:t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un penal, pero al momento de golpear la pelota, resbaló y se fracturó el tobillo.</w:t>
      </w:r>
    </w:p>
    <w:p w:rsidR="00465D67" w:rsidRPr="000568AC" w:rsidRDefault="00465D67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465D67" w:rsidRPr="000568AC" w:rsidRDefault="00465D67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¿Qué movimientos no podrá realizar Juan?</w:t>
      </w:r>
    </w:p>
    <w:p w:rsidR="00465D67" w:rsidRPr="000568AC" w:rsidRDefault="000568AC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</w:pPr>
      <w:proofErr w:type="spellStart"/>
      <w:r w:rsidRPr="000568AC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Flectar</w:t>
      </w:r>
      <w:proofErr w:type="spellEnd"/>
      <w:r w:rsidRPr="000568AC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 la pierna, caminar</w:t>
      </w:r>
    </w:p>
    <w:p w:rsidR="00465D67" w:rsidRPr="000568AC" w:rsidRDefault="00465D67" w:rsidP="00465D6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¿Cuál de estos órganos fue afectado por la fractura?</w:t>
      </w:r>
    </w:p>
    <w:p w:rsidR="005D454E" w:rsidRPr="000568AC" w:rsidRDefault="00465D67" w:rsidP="00465D6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 xml:space="preserve">A) </w:t>
      </w:r>
      <w:r w:rsidR="003264BE" w:rsidRPr="000568AC">
        <w:rPr>
          <w:rFonts w:ascii="Comic Sans MS" w:eastAsiaTheme="minorHAnsi" w:hAnsi="Comic Sans MS" w:cs="Calibri"/>
          <w:sz w:val="20"/>
          <w:szCs w:val="20"/>
          <w:lang w:val="es-CL"/>
        </w:rPr>
        <w:t>Músculo;</w:t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 xml:space="preserve"> </w:t>
      </w:r>
      <w:r w:rsidRPr="000568AC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 xml:space="preserve">B) </w:t>
      </w:r>
      <w:r w:rsidR="003264BE" w:rsidRPr="000568AC"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Articulación</w:t>
      </w:r>
      <w:r w:rsidR="003264BE" w:rsidRPr="000568AC">
        <w:rPr>
          <w:rFonts w:ascii="Comic Sans MS" w:eastAsiaTheme="minorHAnsi" w:hAnsi="Comic Sans MS" w:cs="Calibri"/>
          <w:sz w:val="20"/>
          <w:szCs w:val="20"/>
          <w:lang w:val="es-CL"/>
        </w:rPr>
        <w:t>; C) Hueso largos</w:t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.</w:t>
      </w:r>
    </w:p>
    <w:p w:rsidR="005D454E" w:rsidRPr="000568AC" w:rsidRDefault="00866337" w:rsidP="00465D6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>
        <w:rPr>
          <w:rFonts w:eastAsiaTheme="minorHAnsi" w:cs="Calibri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7456" behindDoc="1" locked="0" layoutInCell="1" allowOverlap="1" wp14:anchorId="3FFE1CD2" wp14:editId="12A483AD">
            <wp:simplePos x="0" y="0"/>
            <wp:positionH relativeFrom="column">
              <wp:posOffset>405765</wp:posOffset>
            </wp:positionH>
            <wp:positionV relativeFrom="paragraph">
              <wp:posOffset>318770</wp:posOffset>
            </wp:positionV>
            <wp:extent cx="4419600" cy="2026920"/>
            <wp:effectExtent l="0" t="0" r="0" b="0"/>
            <wp:wrapTight wrapText="bothSides">
              <wp:wrapPolygon edited="0">
                <wp:start x="0" y="0"/>
                <wp:lineTo x="0" y="21316"/>
                <wp:lineTo x="21507" y="21316"/>
                <wp:lineTo x="21507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4BE" w:rsidRPr="000568AC">
        <w:rPr>
          <w:rFonts w:ascii="Comic Sans MS" w:eastAsiaTheme="minorHAnsi" w:hAnsi="Comic Sans MS" w:cs="Calibri"/>
          <w:sz w:val="20"/>
          <w:szCs w:val="20"/>
          <w:lang w:val="es-CL"/>
        </w:rPr>
        <w:t>Observa las siguientes imágenes que representan acciones.</w:t>
      </w: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noProof/>
          <w:sz w:val="20"/>
          <w:szCs w:val="20"/>
          <w:lang w:val="es-CL" w:eastAsia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0568AC" w:rsidRDefault="000568AC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5D454E" w:rsidRPr="000568AC" w:rsidRDefault="001222AE" w:rsidP="001222AE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Pablo visita con su mamá al doctor del hospital de su co</w:t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 xml:space="preserve">muna, en el examen de rutina el </w:t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doctor golpea la rodilla de Pablo con un instrumento, Pablo reacciona levantando su rodilla.</w:t>
      </w:r>
    </w:p>
    <w:p w:rsidR="001222AE" w:rsidRPr="000568AC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5D454E" w:rsidRPr="000568AC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0568AC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12FA30E4" wp14:editId="23325FC4">
            <wp:simplePos x="0" y="0"/>
            <wp:positionH relativeFrom="column">
              <wp:posOffset>2712720</wp:posOffset>
            </wp:positionH>
            <wp:positionV relativeFrom="paragraph">
              <wp:posOffset>214630</wp:posOffset>
            </wp:positionV>
            <wp:extent cx="305689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403" y="21288"/>
                <wp:lineTo x="21403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8AC">
        <w:rPr>
          <w:rFonts w:ascii="Comic Sans MS" w:eastAsiaTheme="minorHAnsi" w:hAnsi="Comic Sans MS" w:cs="Calibri"/>
          <w:sz w:val="20"/>
          <w:szCs w:val="20"/>
          <w:lang w:val="es-CL"/>
        </w:rPr>
        <w:t>¿A qué proceso corresponde la reacción de Pablo?</w:t>
      </w:r>
    </w:p>
    <w:p w:rsidR="001222AE" w:rsidRPr="000568AC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1222AE" w:rsidRPr="00866337" w:rsidRDefault="00866337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</w:pPr>
      <w:r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Arco reflejo</w:t>
      </w:r>
    </w:p>
    <w:p w:rsidR="001222AE" w:rsidRPr="000568AC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1222AE" w:rsidRPr="000568AC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1222AE" w:rsidRPr="000568AC" w:rsidRDefault="001222AE" w:rsidP="001222AE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bookmarkStart w:id="0" w:name="_GoBack"/>
      <w:bookmarkEnd w:id="0"/>
      <w:r w:rsidRPr="000568AC">
        <w:rPr>
          <w:rFonts w:ascii="Comic Sans MS" w:hAnsi="Comic Sans MS" w:cs="gobCL-Bold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099E0" wp14:editId="6C6BFEA3">
                <wp:simplePos x="0" y="0"/>
                <wp:positionH relativeFrom="column">
                  <wp:posOffset>32385</wp:posOffset>
                </wp:positionH>
                <wp:positionV relativeFrom="paragraph">
                  <wp:posOffset>1833880</wp:posOffset>
                </wp:positionV>
                <wp:extent cx="2682240" cy="571500"/>
                <wp:effectExtent l="0" t="0" r="381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22AE" w:rsidRPr="0085524D" w:rsidRDefault="001222AE" w:rsidP="001222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1222AE" w:rsidRDefault="001222AE" w:rsidP="001222AE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margin-left:2.55pt;margin-top:144.4pt;width:211.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" fillcolor="window" stroked="f" strokeweight=".5pt">
                <v:textbox>
                  <w:txbxContent>
                    <w:p w:rsidR="001222AE" w:rsidRPr="0085524D" w:rsidRDefault="001222AE" w:rsidP="001222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1222AE" w:rsidRDefault="001222AE" w:rsidP="001222AE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2AE" w:rsidRPr="000568AC" w:rsidSect="005D454E"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16" w:rsidRDefault="00522B16" w:rsidP="00DB4839">
      <w:pPr>
        <w:spacing w:after="0" w:line="240" w:lineRule="auto"/>
      </w:pPr>
      <w:r>
        <w:separator/>
      </w:r>
    </w:p>
  </w:endnote>
  <w:endnote w:type="continuationSeparator" w:id="0">
    <w:p w:rsidR="00522B16" w:rsidRDefault="00522B1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713858A" wp14:editId="62F6B9E0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866337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E45AFCD" wp14:editId="427614C1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706FC51" wp14:editId="720A7ED9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DB1EB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16" w:rsidRDefault="00522B16" w:rsidP="00DB4839">
      <w:pPr>
        <w:spacing w:after="0" w:line="240" w:lineRule="auto"/>
      </w:pPr>
      <w:r>
        <w:separator/>
      </w:r>
    </w:p>
  </w:footnote>
  <w:footnote w:type="continuationSeparator" w:id="0">
    <w:p w:rsidR="00522B16" w:rsidRDefault="00522B1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68AC"/>
    <w:rsid w:val="000572F9"/>
    <w:rsid w:val="000A5DA9"/>
    <w:rsid w:val="000D4BB9"/>
    <w:rsid w:val="001222AE"/>
    <w:rsid w:val="00172D9B"/>
    <w:rsid w:val="00230AD3"/>
    <w:rsid w:val="002D3C6F"/>
    <w:rsid w:val="00302364"/>
    <w:rsid w:val="00314758"/>
    <w:rsid w:val="003264BE"/>
    <w:rsid w:val="00430CC9"/>
    <w:rsid w:val="00435EE0"/>
    <w:rsid w:val="00450BFD"/>
    <w:rsid w:val="00465D67"/>
    <w:rsid w:val="004E2045"/>
    <w:rsid w:val="005178D6"/>
    <w:rsid w:val="00522B16"/>
    <w:rsid w:val="005356AF"/>
    <w:rsid w:val="005B1D24"/>
    <w:rsid w:val="005D454E"/>
    <w:rsid w:val="0063738C"/>
    <w:rsid w:val="0063797F"/>
    <w:rsid w:val="00646DB0"/>
    <w:rsid w:val="00652B80"/>
    <w:rsid w:val="00680326"/>
    <w:rsid w:val="0071104A"/>
    <w:rsid w:val="00804206"/>
    <w:rsid w:val="00866337"/>
    <w:rsid w:val="00884DFC"/>
    <w:rsid w:val="00956AFA"/>
    <w:rsid w:val="00A53910"/>
    <w:rsid w:val="00A55A4A"/>
    <w:rsid w:val="00A724FA"/>
    <w:rsid w:val="00AC0D6E"/>
    <w:rsid w:val="00B660B2"/>
    <w:rsid w:val="00BA4256"/>
    <w:rsid w:val="00BC7A09"/>
    <w:rsid w:val="00C41228"/>
    <w:rsid w:val="00C644C3"/>
    <w:rsid w:val="00C81021"/>
    <w:rsid w:val="00D01B3B"/>
    <w:rsid w:val="00DA54C0"/>
    <w:rsid w:val="00DA7004"/>
    <w:rsid w:val="00DB1EBC"/>
    <w:rsid w:val="00DB4839"/>
    <w:rsid w:val="00DE59E3"/>
    <w:rsid w:val="00E22396"/>
    <w:rsid w:val="00E2298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MQQRJKESPSZQ-216-19752</_dlc_DocId>
    <_dlc_DocIdUrl xmlns="de2725e4-ec5b-47eb-bdd9-6fcbc3c86379">
      <Url>http://tec.mineduc.cl/UCE/curriculum_en_linea/_layouts/DocIdRedir.aspx?ID=MQQRJKESPSZQ-216-19752</Url>
      <Description>MQQRJKESPSZQ-216-19752</Description>
    </_dlc_DocIdUrl>
  </documentManagement>
</p:properties>
</file>

<file path=customXml/itemProps1.xml><?xml version="1.0" encoding="utf-8"?>
<ds:datastoreItem xmlns:ds="http://schemas.openxmlformats.org/officeDocument/2006/customXml" ds:itemID="{13B0774C-F61E-49C5-B903-2B40C23CB96F}"/>
</file>

<file path=customXml/itemProps2.xml><?xml version="1.0" encoding="utf-8"?>
<ds:datastoreItem xmlns:ds="http://schemas.openxmlformats.org/officeDocument/2006/customXml" ds:itemID="{D0D02DF7-55AE-4C38-80F6-E4117CBDF1FE}"/>
</file>

<file path=customXml/itemProps3.xml><?xml version="1.0" encoding="utf-8"?>
<ds:datastoreItem xmlns:ds="http://schemas.openxmlformats.org/officeDocument/2006/customXml" ds:itemID="{2B8EA030-73E4-476D-BA07-FC2F8673B9B3}"/>
</file>

<file path=customXml/itemProps4.xml><?xml version="1.0" encoding="utf-8"?>
<ds:datastoreItem xmlns:ds="http://schemas.openxmlformats.org/officeDocument/2006/customXml" ds:itemID="{A4099FDF-0956-44B3-A561-6CEE20A98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2013-06-24T21:08:00Z</cp:lastPrinted>
  <dcterms:created xsi:type="dcterms:W3CDTF">2013-06-24T21:08:00Z</dcterms:created>
  <dcterms:modified xsi:type="dcterms:W3CDTF">2013-06-24T21:09:00Z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58851ef3-5669-4f35-8445-5725efcd7fc9</vt:lpwstr>
  </property>
  <property fmtid="{D5CDD505-2E9C-101B-9397-08002B2CF9AE}" pid="3" name="ContentTypeId">
    <vt:lpwstr>0x0101003CE76336628D1C4DA321C1F5A61526BD</vt:lpwstr>
  </property>
</Properties>
</file>